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D0" w:rsidRPr="00430DD0" w:rsidRDefault="00430DD0" w:rsidP="00430DD0">
      <w:pPr>
        <w:shd w:val="clear" w:color="auto" w:fill="FDFDFD"/>
        <w:spacing w:after="0" w:line="240" w:lineRule="auto"/>
        <w:rPr>
          <w:rFonts w:ascii="Times New Roman" w:eastAsia="Times New Roman" w:hAnsi="Times New Roman" w:cs="Times New Roman"/>
          <w:sz w:val="24"/>
          <w:szCs w:val="24"/>
          <w:lang w:eastAsia="pt-BR"/>
        </w:rPr>
      </w:pPr>
      <w:r w:rsidRPr="00430DD0">
        <w:rPr>
          <w:rFonts w:ascii="Calibri" w:eastAsia="Times New Roman" w:hAnsi="Calibri" w:cs="Times New Roman"/>
          <w:lang w:eastAsia="pt-BR"/>
        </w:rPr>
        <w:t>Cara licitante</w:t>
      </w:r>
    </w:p>
    <w:p w:rsidR="00430DD0" w:rsidRPr="00430DD0" w:rsidRDefault="00430DD0" w:rsidP="00430DD0">
      <w:pPr>
        <w:shd w:val="clear" w:color="auto" w:fill="FDFDFD"/>
        <w:spacing w:after="0" w:line="240" w:lineRule="auto"/>
        <w:rPr>
          <w:rFonts w:ascii="Times New Roman" w:eastAsia="Times New Roman" w:hAnsi="Times New Roman" w:cs="Times New Roman"/>
          <w:sz w:val="24"/>
          <w:szCs w:val="24"/>
          <w:lang w:eastAsia="pt-BR"/>
        </w:rPr>
      </w:pPr>
      <w:r w:rsidRPr="00430DD0">
        <w:rPr>
          <w:rFonts w:ascii="Calibri" w:eastAsia="Times New Roman" w:hAnsi="Calibri" w:cs="Times New Roman"/>
          <w:lang w:eastAsia="pt-BR"/>
        </w:rPr>
        <w:t> </w:t>
      </w:r>
    </w:p>
    <w:p w:rsidR="00430DD0" w:rsidRPr="00430DD0" w:rsidRDefault="00430DD0" w:rsidP="00430DD0">
      <w:pPr>
        <w:shd w:val="clear" w:color="auto" w:fill="FDFDFD"/>
        <w:spacing w:after="0" w:line="240" w:lineRule="auto"/>
        <w:rPr>
          <w:rFonts w:ascii="Calibri" w:eastAsia="Times New Roman" w:hAnsi="Calibri" w:cs="Times New Roman"/>
          <w:lang w:eastAsia="pt-BR"/>
        </w:rPr>
      </w:pPr>
      <w:r w:rsidRPr="00430DD0">
        <w:rPr>
          <w:rFonts w:ascii="Calibri" w:eastAsia="Times New Roman" w:hAnsi="Calibri" w:cs="Times New Roman"/>
          <w:lang w:eastAsia="pt-BR"/>
        </w:rPr>
        <w:t xml:space="preserve">Em um dos parágrafos do seu recurso está dito “ a Recorrente esclarece que os painéis de media tensão possuem proteção contra curto circuito e sobre corrente utilizando disjuntores de media tensão, os quais utilizam o </w:t>
      </w:r>
      <w:proofErr w:type="spellStart"/>
      <w:r w:rsidRPr="00430DD0">
        <w:rPr>
          <w:rFonts w:ascii="Calibri" w:eastAsia="Times New Roman" w:hAnsi="Calibri" w:cs="Times New Roman"/>
          <w:lang w:eastAsia="pt-BR"/>
        </w:rPr>
        <w:t>gas</w:t>
      </w:r>
      <w:proofErr w:type="spellEnd"/>
      <w:r w:rsidRPr="00430DD0">
        <w:rPr>
          <w:rFonts w:ascii="Calibri" w:eastAsia="Times New Roman" w:hAnsi="Calibri" w:cs="Times New Roman"/>
          <w:lang w:eastAsia="pt-BR"/>
        </w:rPr>
        <w:t xml:space="preserve"> SF6 como agente ativo no isolamento de proteção, os antigos disjuntores que utilizavam o PVO, não são utilizados em cubículos blindados, isso é tecnologia superada, portanto quando falamos em proteção de cubículos blindados de MT, falamos em gás SF6”. De acordo com nossa equipe técnica de engenharia elétrica, não necessariamente um cubículo blindado usa gás SF6. Entretanto, considerando que existe uma proposta da </w:t>
      </w:r>
      <w:proofErr w:type="spellStart"/>
      <w:proofErr w:type="gramStart"/>
      <w:r w:rsidRPr="00430DD0">
        <w:rPr>
          <w:rFonts w:ascii="Calibri" w:eastAsia="Times New Roman" w:hAnsi="Calibri" w:cs="Times New Roman"/>
          <w:lang w:eastAsia="pt-BR"/>
        </w:rPr>
        <w:t>Ormazerbal</w:t>
      </w:r>
      <w:proofErr w:type="spellEnd"/>
      <w:r w:rsidRPr="00430DD0">
        <w:rPr>
          <w:rFonts w:ascii="Calibri" w:eastAsia="Times New Roman" w:hAnsi="Calibri" w:cs="Times New Roman"/>
          <w:lang w:eastAsia="pt-BR"/>
        </w:rPr>
        <w:t>  e</w:t>
      </w:r>
      <w:proofErr w:type="gramEnd"/>
      <w:r w:rsidRPr="00430DD0">
        <w:rPr>
          <w:rFonts w:ascii="Calibri" w:eastAsia="Times New Roman" w:hAnsi="Calibri" w:cs="Times New Roman"/>
          <w:lang w:eastAsia="pt-BR"/>
        </w:rPr>
        <w:t xml:space="preserve"> que essa empresa só utiliza equipamentos com SF6, solicitamos que seja enviado a Nota Fiscal da compra de pelo menos um equipamento relacionado com uma das obras das </w:t>
      </w:r>
      <w:proofErr w:type="spellStart"/>
      <w:r w:rsidRPr="00430DD0">
        <w:rPr>
          <w:rFonts w:ascii="Calibri" w:eastAsia="Times New Roman" w:hAnsi="Calibri" w:cs="Times New Roman"/>
          <w:lang w:eastAsia="pt-BR"/>
        </w:rPr>
        <w:t>CATs</w:t>
      </w:r>
      <w:proofErr w:type="spellEnd"/>
      <w:r w:rsidRPr="00430DD0">
        <w:rPr>
          <w:rFonts w:ascii="Calibri" w:eastAsia="Times New Roman" w:hAnsi="Calibri" w:cs="Times New Roman"/>
          <w:lang w:eastAsia="pt-BR"/>
        </w:rPr>
        <w:t xml:space="preserve">  da documentação de habilitação.</w:t>
      </w:r>
    </w:p>
    <w:p w:rsidR="00430DD0" w:rsidRPr="00430DD0" w:rsidRDefault="00430DD0" w:rsidP="00430DD0">
      <w:pPr>
        <w:shd w:val="clear" w:color="auto" w:fill="FDFDFD"/>
        <w:spacing w:after="0" w:line="240" w:lineRule="auto"/>
        <w:rPr>
          <w:rFonts w:ascii="Calibri" w:eastAsia="Times New Roman" w:hAnsi="Calibri" w:cs="Times New Roman"/>
          <w:lang w:eastAsia="pt-BR"/>
        </w:rPr>
      </w:pPr>
    </w:p>
    <w:p w:rsidR="00430DD0" w:rsidRPr="00430DD0" w:rsidRDefault="00430DD0" w:rsidP="00430DD0">
      <w:pPr>
        <w:shd w:val="clear" w:color="auto" w:fill="FDFDFD"/>
        <w:spacing w:after="0" w:line="240" w:lineRule="auto"/>
        <w:rPr>
          <w:rFonts w:ascii="Times New Roman" w:eastAsia="Times New Roman" w:hAnsi="Times New Roman" w:cs="Times New Roman"/>
          <w:sz w:val="24"/>
          <w:szCs w:val="24"/>
          <w:lang w:eastAsia="pt-BR"/>
        </w:rPr>
      </w:pPr>
      <w:proofErr w:type="spellStart"/>
      <w:r w:rsidRPr="00430DD0">
        <w:rPr>
          <w:rFonts w:ascii="Calibri" w:eastAsia="Times New Roman" w:hAnsi="Calibri" w:cs="Times New Roman"/>
          <w:lang w:eastAsia="pt-BR"/>
        </w:rPr>
        <w:t>Att</w:t>
      </w:r>
      <w:proofErr w:type="spellEnd"/>
      <w:r w:rsidRPr="00430DD0">
        <w:rPr>
          <w:rFonts w:ascii="Calibri" w:eastAsia="Times New Roman" w:hAnsi="Calibri" w:cs="Times New Roman"/>
          <w:lang w:eastAsia="pt-BR"/>
        </w:rPr>
        <w:t>.,</w:t>
      </w:r>
    </w:p>
    <w:p w:rsidR="00AB31E3" w:rsidRPr="00430DD0" w:rsidRDefault="00AB31E3"/>
    <w:p w:rsidR="00430DD0" w:rsidRPr="00430DD0" w:rsidRDefault="00430DD0">
      <w:r w:rsidRPr="00430DD0">
        <w:t>A Comissão.</w:t>
      </w:r>
      <w:bookmarkStart w:id="0" w:name="_GoBack"/>
      <w:bookmarkEnd w:id="0"/>
    </w:p>
    <w:sectPr w:rsidR="00430DD0" w:rsidRPr="00430D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D0"/>
    <w:rsid w:val="00430DD0"/>
    <w:rsid w:val="00AB3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F61A7-7B39-42B3-A9E0-2E64B39D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4013">
      <w:bodyDiv w:val="1"/>
      <w:marLeft w:val="0"/>
      <w:marRight w:val="0"/>
      <w:marTop w:val="0"/>
      <w:marBottom w:val="0"/>
      <w:divBdr>
        <w:top w:val="none" w:sz="0" w:space="0" w:color="auto"/>
        <w:left w:val="none" w:sz="0" w:space="0" w:color="auto"/>
        <w:bottom w:val="none" w:sz="0" w:space="0" w:color="auto"/>
        <w:right w:val="none" w:sz="0" w:space="0" w:color="auto"/>
      </w:divBdr>
    </w:div>
    <w:div w:id="15714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UFBA-Universidade Federal da Bahia</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dos Santos Pereira</dc:creator>
  <cp:keywords/>
  <dc:description/>
  <cp:lastModifiedBy>Adriana dos Santos Pereira</cp:lastModifiedBy>
  <cp:revision>1</cp:revision>
  <dcterms:created xsi:type="dcterms:W3CDTF">2018-12-12T20:24:00Z</dcterms:created>
  <dcterms:modified xsi:type="dcterms:W3CDTF">2018-12-12T20:29:00Z</dcterms:modified>
</cp:coreProperties>
</file>